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b92bd5be554031"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26750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GRAD OTOČAC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3.435.009,96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3.795.932,63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2.582.653,40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2.763.929,11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852.356,56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1.032.003,52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121,1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1.039,89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8.615,18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828,5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694.027,61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483.829,48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692.987,72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475.214,30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68,6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96.733,78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494.154,16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510,8</w:t>
            </w:r>
          </w:p>
        </w:tc>
      </w:tr>
    </w:tbl>
    <w:p>
      <w:pPr>
        <w:spacing w:before="0" w:after="0"/>
      </w:pPr>
    </w:p>
    <w:p>
      <w:pPr>
        <w:jc w:val="both"/>
        <w:pStyle w:val="Normal"/>
        <w:spacing w:line="240" w:lineRule="auto"/>
      </w:pPr>
      <w:r>
        <w:rPr>
          <w:sz w:val="24"/>
          <w:rFonts w:ascii="Times New Roman" w:hAnsi="Times New Roman"/>
        </w:rPr>
        <w:t>Ukupni višak prihoda poslovanja Grada Otočca sa četiri proračunska korisnika: Gacko pučko učilište Otočac, Dječji vrtić Ciciban, Javna ustanova Narodna knjižnica Otočac i Centar za pomoć u kući Otočac iznosi ukupno 1.032.003,52 €. Ukupni manjak prihoda od nefinancijske imovine u izvještajnom razdoblju iznosi 475.214,30 EUR, kao i manjak od financijske imovine i zaduživanja koji se u cijelosti odnosi na otplatu kredita dodijeljenog od strane HBOR-a Gradu Otočcu za modernizaciju javne rasvjete na području grada Otočca, što u konačnici rezultira ukupnim viškom prihoda i primitaka razine 23 u iznosu od 494.154,16 EUR.</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(šifre 6111 do 6116 - 6117 - 6119)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1.220.777,61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1.367.352,08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112,0</w:t>
            </w:r>
          </w:p>
        </w:tc>
      </w:tr>
    </w:tbl>
    <w:p>
      <w:pPr>
        <w:spacing w:before="0" w:after="0"/>
      </w:pPr>
    </w:p>
    <w:p>
      <w:pPr>
        <w:jc w:val="both"/>
        <w:pStyle w:val="Normal"/>
        <w:spacing w:line="240" w:lineRule="auto"/>
      </w:pPr>
      <w:r>
        <w:rPr>
          <w:sz w:val="24"/>
          <w:rFonts w:ascii="Times New Roman" w:hAnsi="Times New Roman"/>
        </w:rPr>
        <w:t>Prihod od poreza na dohodak je uvećan u izvještajnom razdoblju u odnosu na prethodnu godinu za 12,00% odnosno za 146.574,47 €. Razlog tomu je povećanje broja aktivnih poduzetnika i obrta, kao i povećanje broja zaposlenih u poduzećima i ostalim tvrtkama na području grada Otočca tijekom 2025. godine. Dakle, iako je 01. siječnja 2024. g. ukinut prirez što je također doprinosilo prihodovnoj strani, jasno se očituje povećanje prihoda od poreza na dohodak.</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61.823,41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95.959,19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155,2</w:t>
            </w:r>
          </w:p>
        </w:tc>
      </w:tr>
    </w:tbl>
    <w:p>
      <w:pPr>
        <w:spacing w:before="0" w:after="0"/>
      </w:pPr>
    </w:p>
    <w:p>
      <w:pPr>
        <w:jc w:val="both"/>
        <w:pStyle w:val="Normal"/>
        <w:spacing w:line="240" w:lineRule="auto"/>
      </w:pPr>
      <w:r>
        <w:rPr>
          <w:sz w:val="24"/>
          <w:rFonts w:ascii="Times New Roman" w:hAnsi="Times New Roman"/>
        </w:rPr>
        <w:t>Porezi na imovinu su uvećani u izvještajnom razdoblju tekuće godine u odnosu na izvještajno razdoblje prethodne godine za 55,20% odnosno za 34.135,78 €. Razlog tomu je značajnije povećanje ostvarenog Povremenog poreza na imovinu  odnosno poreza na promet nekretnina, poreza na reklame, poreza na korištenje javnih površina te porez na kuće za odmor.</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robu i usluge (šifre 6141 do 61476148)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13.084,18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9.071,10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69,3</w:t>
            </w:r>
          </w:p>
        </w:tc>
      </w:tr>
    </w:tbl>
    <w:p>
      <w:pPr>
        <w:spacing w:before="0" w:after="0"/>
      </w:pPr>
    </w:p>
    <w:p>
      <w:pPr>
        <w:jc w:val="both"/>
        <w:pStyle w:val="Normal"/>
        <w:spacing w:line="240" w:lineRule="auto"/>
      </w:pPr>
      <w:r>
        <w:rPr>
          <w:sz w:val="24"/>
          <w:rFonts w:ascii="Times New Roman" w:hAnsi="Times New Roman"/>
        </w:rPr>
        <w:t>Porezi na robu i usluge su smanjeni za 30,70% odnosno za 4.013,08 eura u izvještajnom razdoblju tekuće godine u odnosu na isto razdoblje prethodne godine zbog manje ostvarene naplate poreza na potrošnju alkoholnih i bezalkoholnih pića u ugostiteljskim objektima na području grada Otočca.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768.222,58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782.993,85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101,9</w:t>
            </w:r>
          </w:p>
        </w:tc>
      </w:tr>
    </w:tbl>
    <w:p>
      <w:pPr>
        <w:spacing w:before="0" w:after="0"/>
      </w:pPr>
    </w:p>
    <w:p>
      <w:pPr>
        <w:jc w:val="both"/>
        <w:pStyle w:val="Normal"/>
        <w:spacing w:line="240" w:lineRule="auto"/>
      </w:pPr>
      <w:r>
        <w:rPr>
          <w:sz w:val="24"/>
          <w:rFonts w:ascii="Times New Roman" w:hAnsi="Times New Roman"/>
        </w:rPr>
        <w:t>Tekuće pomoći proračunu i izvanproračunskim korisnicima iz drugih proračuna, na računu 6331 evidentirane su tekuće pomoći. Grad je ostvario tekuću pomoć iz državnog proračuna za kompenzacijske mjere u iznosu od 620.728,74 EUR, fiskalnu održivost vrtića u iznosu od 152.346,00 EUR te prihod proračunskog korisnika Centar za pomoć u kući u iznosu od 9.919,11  EUR.</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od izvanproračunskih korisnika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11.354,44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20.592,57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181,4</w:t>
            </w:r>
          </w:p>
        </w:tc>
      </w:tr>
    </w:tbl>
    <w:p>
      <w:pPr>
        <w:spacing w:before="0" w:after="0"/>
      </w:pPr>
    </w:p>
    <w:p>
      <w:pPr>
        <w:jc w:val="both"/>
        <w:pStyle w:val="Normal"/>
        <w:spacing w:line="240" w:lineRule="auto"/>
      </w:pPr>
      <w:r>
        <w:rPr>
          <w:sz w:val="24"/>
          <w:rFonts w:ascii="Times New Roman" w:hAnsi="Times New Roman"/>
        </w:rPr>
        <w:t>Tekuće pomoći od izvanproračunskih korisnika odnose se na prihode od HZZ-a za zapošljavanje osoba na javnim radovima, pri čemu je u izvještajnom razdoblju tekuće godine ostvareno povećanje sredstava za 81,40%  odnosno 9.238,13 eura u odnosu na razdoblje prethodne godine. Grad Otočac je u prvoj polovici 2025.godine provodio projekt Javnih radova pri čemu su na istome bile zaposlene tri osobe.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iz proračuna koji im nije nadležan (šifre 6361+6362)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54.880,02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58.860,02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107,3</w:t>
            </w:r>
          </w:p>
        </w:tc>
      </w:tr>
    </w:tbl>
    <w:p>
      <w:pPr>
        <w:spacing w:before="0" w:after="0"/>
      </w:pPr>
    </w:p>
    <w:p>
      <w:pPr>
        <w:jc w:val="both"/>
        <w:pStyle w:val="Normal"/>
        <w:spacing w:line="240" w:lineRule="auto"/>
      </w:pPr>
      <w:r>
        <w:rPr>
          <w:sz w:val="24"/>
          <w:rFonts w:ascii="Times New Roman" w:hAnsi="Times New Roman"/>
        </w:rPr>
        <w:t>Pomoći proračunskim korisnicima iz proračuna koji im nije nadležan obuhvaća prihode proračunskih korisnika i to: 
-	Gacko pučko otvoreno učilište je ostvarilo tekuće i kapitalne pomoći od Ministarstva kulture za programe te Hrvatskog sabora za rashode i usluge poslovanja u ukupnom iznosu od 48.510,02 eura.
-	Javna ustanova narodna knjižnica: kapitalna pomoć od Ministarstva kulture za nabavu knjiga 10.350,00 EUR.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Konto 6382 Tekuće pomoći temeljem prijenosa EU sredstava odnose se na prihod ostvaren od neprofitabilne udruge Europske unije - ENERGY CITIES/ENERGIE-CITES ASSOCIATION za svrhu provedbe projekta ''Activamos'' u iznosu od 21.000,00 EUR.</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482.860,72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49,7</w:t>
            </w:r>
          </w:p>
        </w:tc>
      </w:tr>
    </w:tbl>
    <w:p>
      <w:pPr>
        <w:spacing w:before="0" w:after="0"/>
      </w:pPr>
    </w:p>
    <w:p>
      <w:pPr>
        <w:jc w:val="both"/>
        <w:pStyle w:val="Normal"/>
        <w:spacing w:line="240" w:lineRule="auto"/>
      </w:pPr>
      <w:r>
        <w:rPr>
          <w:sz w:val="24"/>
          <w:rFonts w:ascii="Times New Roman" w:hAnsi="Times New Roman"/>
        </w:rPr>
        <w:t>Konto 6382 Kapitalne pomoći temeljem prijenosa EU sredstava odnose se na prihod Ministarstva turizma i sporta RH za odobreni projekt izgradnje sportsko-rekreacijskog centra na području grada Otočca koji je ostvaren u ukupnom iznosu od 240.000,00 EUR.</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imovine (šifre 641+642+643)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257.595,11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206.521,54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80,2</w:t>
            </w:r>
          </w:p>
        </w:tc>
      </w:tr>
    </w:tbl>
    <w:p>
      <w:pPr>
        <w:spacing w:before="0" w:after="0"/>
      </w:pPr>
    </w:p>
    <w:p>
      <w:pPr>
        <w:jc w:val="both"/>
        <w:pStyle w:val="Normal"/>
        <w:spacing w:line="240" w:lineRule="auto"/>
      </w:pPr>
      <w:r>
        <w:rPr>
          <w:sz w:val="24"/>
          <w:rFonts w:ascii="Times New Roman" w:hAnsi="Times New Roman"/>
        </w:rPr>
        <w:t>Skupina 64 Prihod od imovine odnosi se na naknade za koncesije na vodama i javnom vodnom dobru, kamate na depozite po viđenju, prohodi od iznajmljivanja stambenih i poslovnih objekata, naknade za korištenje prostora elektrana i prihod od spomeničke rente.  Navedeni prihod je manji za 19,80% odnosno za 51.073,57 eura u izvještajnom razdoblju tekuće godine u odnosu na prethodnu godinu.</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500.778,43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863.042,68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172,3</w:t>
            </w:r>
          </w:p>
        </w:tc>
      </w:tr>
    </w:tbl>
    <w:p>
      <w:pPr>
        <w:spacing w:before="0" w:after="0"/>
      </w:pPr>
    </w:p>
    <w:p>
      <w:pPr>
        <w:jc w:val="both"/>
        <w:pStyle w:val="Normal"/>
        <w:spacing w:line="240" w:lineRule="auto"/>
      </w:pPr>
      <w:r>
        <w:rPr>
          <w:sz w:val="24"/>
          <w:rFonts w:ascii="Times New Roman" w:hAnsi="Times New Roman"/>
        </w:rPr>
        <w:t>Razred 65 Prihod od upravnih i administrativnih pristojbi, pristojbi po posebnim propisima i naknadama odnosi se na prihod od prodaje državnih biljega, prihod od boravišne pristojbe, doprinos za šume, komunalni doprinos, komunalne naknade, prihodi za pravo služnosti telekoma, prihodi vodoprivrede itd. 
Ostali nespomenuti prihodi na računu 6526 povećani su u odnosu na izvještajno razdoblje 2024. godinu za 206,90%. Ostvareni su odnosno u ukupnom iznosu od 509.611,27 EUR, a odnose se na prihode:
-	Grad Otočac: 426.194,30 EUR (prihod od dobivenog sudskog spora sa HT d.d. za pravo služnosti)
-	Gacko pučko otvoreno učilište: 3.557,00 EUR (prihod od prodaje ulaznica za muzej i kinu, predstave itd.)
-	Dječji vrtić Ciciban: 78.551,21 EUR (participacija roditelja za smještaj djece u vrtiću)
-	Javna ustanova narodna knjižnica: 215,00 EUR (članarina korisnika knjižnice)
-	Centar za pomoć u kući 1.093,76 EUR (prihod od uplata korisnika centra)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 i naknade (šifre 6531 do 6533)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202.509,55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195.608,32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96,6</w:t>
            </w:r>
          </w:p>
        </w:tc>
      </w:tr>
    </w:tbl>
    <w:p>
      <w:pPr>
        <w:spacing w:before="0" w:after="0"/>
      </w:pPr>
    </w:p>
    <w:p>
      <w:pPr>
        <w:jc w:val="both"/>
        <w:pStyle w:val="Normal"/>
        <w:spacing w:line="240" w:lineRule="auto"/>
      </w:pPr>
      <w:r>
        <w:rPr>
          <w:sz w:val="24"/>
          <w:rFonts w:ascii="Times New Roman" w:hAnsi="Times New Roman"/>
        </w:rPr>
        <w:t>Konto 653 Komunalni doprinos i komunalne naknade, evidentirano je relativno umanjenje od 3,4% temeljem manje stope naplaćenosti komunalnih doprinosa tijekom izvještajnog razdoblje tekuće godine u odnosu na razdoblje prethodne godine. </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24.878,28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33.253,35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133,7</w:t>
            </w:r>
          </w:p>
        </w:tc>
      </w:tr>
    </w:tbl>
    <w:p>
      <w:pPr>
        <w:spacing w:before="0" w:after="0"/>
      </w:pPr>
    </w:p>
    <w:p>
      <w:pPr>
        <w:jc w:val="both"/>
        <w:pStyle w:val="Normal"/>
        <w:spacing w:line="240" w:lineRule="auto"/>
      </w:pPr>
      <w:r>
        <w:rPr>
          <w:sz w:val="24"/>
          <w:rFonts w:ascii="Times New Roman" w:hAnsi="Times New Roman"/>
        </w:rPr>
        <w:t>Razred 66 Prihodi od prodaje proizvoda i robe te pruženih usluga, prihodi od donacija te povrati po protestiranim jamstvima su uvećani za 33,7% u izvještajnom razdoblju tekuće godine u odnosu na razdoblje prethodne godine zbog više ostvarenog prihoda od pruženih usluga - 6615 i tekućih donacija - 6631. </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23.278,28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28.753,35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123,5</w:t>
            </w:r>
          </w:p>
        </w:tc>
      </w:tr>
    </w:tbl>
    <w:p>
      <w:pPr>
        <w:spacing w:before="0" w:after="0"/>
      </w:pPr>
    </w:p>
    <w:p>
      <w:pPr>
        <w:jc w:val="both"/>
        <w:pStyle w:val="Normal"/>
        <w:spacing w:line="240" w:lineRule="auto"/>
      </w:pPr>
      <w:r>
        <w:rPr>
          <w:sz w:val="24"/>
          <w:rFonts w:ascii="Times New Roman" w:hAnsi="Times New Roman"/>
        </w:rPr>
        <w:t>Konto 6615 se odnosi na 10% naplaćene naknade za uređenje voda koju Grad Otočac vodi umjesto Hrvatskih voda od 01.01.2021.godine te prihod za pružene usluge proračunskog korisnika: Gacko pučko otvoreno učilište u iznosu od 23.981,30 EUR (prihod od ulaznica i vođenja kroz muzej, prihodi od kotizacija, školarine za glazbenu školu i sl. tijekom prve polovice 2025. godine.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Donacije od pravnih i fizičkih osoba izvan općeg proračuna te povrat donacija i kapitalnih pomoći po protestiranim jamstvima (šifre 6631 do 6634)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281,2</w:t>
            </w:r>
          </w:p>
        </w:tc>
      </w:tr>
    </w:tbl>
    <w:p>
      <w:pPr>
        <w:spacing w:before="0" w:after="0"/>
      </w:pPr>
    </w:p>
    <w:p>
      <w:pPr>
        <w:jc w:val="both"/>
        <w:pStyle w:val="Normal"/>
        <w:spacing w:line="240" w:lineRule="auto"/>
      </w:pPr>
      <w:r>
        <w:rPr>
          <w:sz w:val="24"/>
          <w:rFonts w:ascii="Times New Roman" w:hAnsi="Times New Roman"/>
        </w:rPr>
        <w:t>Podskupina 663 odnosi se na prihod proračunskog korisnika Gacko pučko otvoreno učilište za realizaciju programa: Smotra folklora.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681.038,79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780.851,00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114,7</w:t>
            </w:r>
          </w:p>
        </w:tc>
      </w:tr>
    </w:tbl>
    <w:p>
      <w:pPr>
        <w:spacing w:before="0" w:after="0"/>
      </w:pPr>
    </w:p>
    <w:p>
      <w:pPr>
        <w:jc w:val="both"/>
        <w:pStyle w:val="Normal"/>
        <w:spacing w:line="240" w:lineRule="auto"/>
      </w:pPr>
      <w:r>
        <w:rPr>
          <w:sz w:val="24"/>
          <w:rFonts w:ascii="Times New Roman" w:hAnsi="Times New Roman"/>
        </w:rPr>
        <w:t>Konto 311 Plaće u 2025. godini povećane su u odnosu na 2024. godinu za 14,7%. Najveći razlog tomu je povećanje osnovice od 3% na dan 01. veljače 2025., budući da se istodobno pratila Odluka Vlade Republike Hrvatske  o visini osnovice za obračun plaće u javnim službama za 2025. godinu i povećanje osnovice za obračun plaće u skladu s Kolektivnim ugovorom za zaposlene u javnim ustanovama u kulturi (Gacko pučko otvoreno učilište).
Broj zaposlenih na dan 30.06.2025 .godine u Gradu Otočcu je 26, javni radovi 3, što je ukupno 29 zaposlenih.
Prosječni broj zaposlenih kod proračunskih korisnika je 54 (Dječji vrtić Ciciban 38, Gacko pučko otvoreno učilište 10, Javna ustanova narodna knjižnica 3, te Centar za pomoć u kući također 3 zaposlena).
Plaće kod proračunskih korisnika iznose: 
- Centar za pomoć u kući: 33.843,78 EUR
- Javna ustanova narodna knjižnica: 35.313,86 EUR
- Dječji vrtić Ciciban: 341.634,26 EUR
- Gacko pučko otvoreno učilište: 126.596,15 EUR.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105.863,30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126.708,86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119,7</w:t>
            </w:r>
          </w:p>
        </w:tc>
      </w:tr>
    </w:tbl>
    <w:p>
      <w:pPr>
        <w:spacing w:before="0" w:after="0"/>
      </w:pPr>
    </w:p>
    <w:p>
      <w:pPr>
        <w:jc w:val="both"/>
        <w:pStyle w:val="Normal"/>
        <w:spacing w:line="240" w:lineRule="auto"/>
      </w:pPr>
      <w:r>
        <w:rPr>
          <w:sz w:val="24"/>
          <w:rFonts w:ascii="Times New Roman" w:hAnsi="Times New Roman"/>
        </w:rPr>
        <w:t>Povećanje od 19,7% u izvještajnom razdoblju tekuće godine je rezultat sljedećih računovodstvenih i zakonskih razloga:
Rast osnovice za obračun plaća u javnim službama, temeljem kolektivnih ugovora i odluka Vlade Republike Hrvatske o povećanju plaća za 2025. godinu.
Proporcionalno povećanje iznosa doprinosa (mirovinsko i zdravstveno osiguranje), budući da se oni obračunavaju kao zakonom propisani postoci na bruto iznos plaće. Uvećanje dodataka na plaću (npr. staž, posebni uvjeti rada) koji također ulaze u osnovicu za obračun doprinosa.</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26.342,00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25.136,21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95,4</w:t>
            </w:r>
          </w:p>
        </w:tc>
      </w:tr>
    </w:tbl>
    <w:p>
      <w:pPr>
        <w:spacing w:before="0" w:after="0"/>
      </w:pPr>
    </w:p>
    <w:p>
      <w:pPr>
        <w:jc w:val="both"/>
        <w:pStyle w:val="Normal"/>
        <w:spacing w:line="240" w:lineRule="auto"/>
      </w:pPr>
      <w:r>
        <w:rPr>
          <w:sz w:val="24"/>
          <w:rFonts w:ascii="Times New Roman" w:hAnsi="Times New Roman"/>
        </w:rPr>
        <w:t>Konto 321 Naknade troškova zaposlenima smanjene su u odnosu na 2024. godinu  i to za 4,6%. Ovi rashodi se odnose na stručno usavršavanje zaposlenika, službena putovanja te naknade za prijevoz na posao i sa posla. </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18.297,71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13.938,08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76,2</w:t>
            </w:r>
          </w:p>
        </w:tc>
      </w:tr>
    </w:tbl>
    <w:p>
      <w:pPr>
        <w:spacing w:before="0" w:after="0"/>
      </w:pPr>
    </w:p>
    <w:p>
      <w:pPr>
        <w:jc w:val="both"/>
        <w:pStyle w:val="Normal"/>
        <w:spacing w:line="240" w:lineRule="auto"/>
      </w:pPr>
      <w:r>
        <w:rPr>
          <w:sz w:val="24"/>
          <w:rFonts w:ascii="Times New Roman" w:hAnsi="Times New Roman"/>
        </w:rPr>
        <w:t>Naknade za prijevoz, rad na terenu i odvojeni život je umanjen u izvještajnom razdoblju tekuće godine ponajviše zbog uvođenja Lika - line javnog autobusnog prijevoza na području Ličko- senjske županije koji je u primjeni od 14. svibnja 2025., što je rezultiralo na umanjeni obračun naknade prijevoza s posla i na posao zaposlenika.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121.652,89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130.406,93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107,2</w:t>
            </w:r>
          </w:p>
        </w:tc>
      </w:tr>
    </w:tbl>
    <w:p>
      <w:pPr>
        <w:spacing w:before="0" w:after="0"/>
      </w:pPr>
    </w:p>
    <w:p>
      <w:pPr>
        <w:jc w:val="both"/>
        <w:pStyle w:val="Normal"/>
        <w:spacing w:line="240" w:lineRule="auto"/>
      </w:pPr>
      <w:r>
        <w:rPr>
          <w:sz w:val="24"/>
          <w:rFonts w:ascii="Times New Roman" w:hAnsi="Times New Roman"/>
        </w:rPr>
        <w:t>Konto 322 Rashodi za materijal i energiju uvećani su u odnosu na 2024. godinu za 7,2% odnosno za 8.754,04 EUR. Navedeni rashodi odnose se na: uredski materijal, energiju koja obuhvaća troškove električne energije te rashode za grijanje (lož ulje, pelete), a najveće smanjenje odnosi se na konto rashoda 3223 - Energija.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624.476,94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824.199,54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132,0</w:t>
            </w:r>
          </w:p>
        </w:tc>
      </w:tr>
    </w:tbl>
    <w:p>
      <w:pPr>
        <w:spacing w:before="0" w:after="0"/>
      </w:pPr>
    </w:p>
    <w:p>
      <w:pPr>
        <w:jc w:val="both"/>
        <w:pStyle w:val="Normal"/>
        <w:spacing w:line="240" w:lineRule="auto"/>
      </w:pPr>
      <w:r>
        <w:rPr>
          <w:sz w:val="24"/>
          <w:rFonts w:ascii="Times New Roman" w:hAnsi="Times New Roman"/>
        </w:rPr>
        <w:t>Konto 323 Rashodi za usluge su povećani u odnosu na prethodnu godinu za 32,00%. Najveće povećanje rashoda se odnosi na usluge tekućeg i investicijskog održavanja, komunalne usluge, intelektualne i osobne usluge te ostale usluge.</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159.514,54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292.623,73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183,4</w:t>
            </w:r>
          </w:p>
        </w:tc>
      </w:tr>
    </w:tbl>
    <w:p>
      <w:pPr>
        <w:spacing w:before="0" w:after="0"/>
      </w:pPr>
    </w:p>
    <w:p>
      <w:pPr>
        <w:jc w:val="both"/>
        <w:pStyle w:val="Normal"/>
        <w:spacing w:line="240" w:lineRule="auto"/>
      </w:pPr>
      <w:r>
        <w:rPr>
          <w:sz w:val="24"/>
          <w:rFonts w:ascii="Times New Roman" w:hAnsi="Times New Roman"/>
        </w:rPr>
        <w:t>Konto 3237 je ostvaren za 83,4% više u odnosu na izvještajno razdoblje prethodne godine odnosno u iznosu većem za 133.09,19 EUR, ponajviše zbog isplate odvjetničke usluge u ukupnom iznosu od 169.822,86 EUR koje je Grad Otočac ugovorio temeljem sudskog spora za pravo služnosti - HAKOM. Preostali iznos ostvarenja se odnosi na usluge vanjskih suradnika, projektanata i sl. koji obavljaju poslove u vidu prijave projekata, ishođenja građevinskih i drugih dozvola, energetskih certifikata i ostalog u ime grada i njegovih proračunskih korisnika u izvještajnom razdoblju tekuće godine.</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64.609,41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87.392,90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135,3</w:t>
            </w:r>
          </w:p>
        </w:tc>
      </w:tr>
    </w:tbl>
    <w:p>
      <w:pPr>
        <w:spacing w:before="0" w:after="0"/>
      </w:pPr>
    </w:p>
    <w:p>
      <w:pPr>
        <w:jc w:val="both"/>
        <w:pStyle w:val="Normal"/>
        <w:spacing w:line="240" w:lineRule="auto"/>
      </w:pPr>
      <w:r>
        <w:rPr>
          <w:sz w:val="24"/>
          <w:rFonts w:ascii="Times New Roman" w:hAnsi="Times New Roman"/>
        </w:rPr>
        <w:t>Konto 329 Ostali nespomenuti rashodi poslovanja uvećani su u odnosu na prethodnu godinu. Rashodi se odnose na pristojbe i naknade, naknadu za rad predstavničkih i izvršnih tijela i povjerenstava, reprezentaciju, članarine, premije osiguranja i sl.</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8.256,94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34.944,13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423,2</w:t>
            </w:r>
          </w:p>
        </w:tc>
      </w:tr>
    </w:tbl>
    <w:p>
      <w:pPr>
        <w:spacing w:before="0" w:after="0"/>
      </w:pPr>
    </w:p>
    <w:p>
      <w:pPr>
        <w:jc w:val="both"/>
        <w:pStyle w:val="Normal"/>
        <w:spacing w:line="240" w:lineRule="auto"/>
      </w:pPr>
      <w:r>
        <w:rPr>
          <w:sz w:val="24"/>
          <w:rFonts w:ascii="Times New Roman" w:hAnsi="Times New Roman"/>
        </w:rPr>
        <w:t>Odjeljak 3295 je ostvaren za 323,20% više u odnosu na izvještajno razdoblje prethodne godine odnosno u iznosu većem za 26.547,50 EUR. Navedeno je razlog zbog plaćanja naknada i pristojbi u vidu poticajne naknade Fondu za energetsku obnovi i zaštitu  okoliša za 2023. godinu u ukupnom iznosu od 22.954,98 EUR, naknade za energetski pregled i analizu dostavljenih računa potrebnih za revidiranje Projekta izgradnje javne rasvjete na području Grada Otočca u ukupnom iznosu od 4.300,00 EUR, te preostale naknade vezane uz registraciju vozila, HRT pristojbe za uređaje u nekretninama i pokretninama u vlasništvu Grada i sl.</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5.122,81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8.371,05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163,4</w:t>
            </w:r>
          </w:p>
        </w:tc>
      </w:tr>
    </w:tbl>
    <w:p>
      <w:pPr>
        <w:spacing w:before="0" w:after="0"/>
      </w:pPr>
    </w:p>
    <w:p>
      <w:pPr>
        <w:jc w:val="both"/>
        <w:pStyle w:val="Normal"/>
        <w:spacing w:line="240" w:lineRule="auto"/>
      </w:pPr>
      <w:r>
        <w:rPr>
          <w:sz w:val="24"/>
          <w:rFonts w:ascii="Times New Roman" w:hAnsi="Times New Roman"/>
        </w:rPr>
        <w:t>Konto 34 Financijski rashodi povećani su u odnosu na prethodnu godinu, a odnosi se na bankarske usluge u Gradu Otočcu te kod proračunskih korisnika i kamate za povrat kredita HBOR-a koji je dodijeljen za realizaciju projekta modernizacije javne rasvjete na području grada Otočca.</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kreditnim i ostalim financijskim institucijama i trgovačkim društvima u javnom sektoru (šifre 3511+3512)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51.650,41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65.419,71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126,7</w:t>
            </w:r>
          </w:p>
        </w:tc>
      </w:tr>
    </w:tbl>
    <w:p>
      <w:pPr>
        <w:spacing w:before="0" w:after="0"/>
      </w:pPr>
    </w:p>
    <w:p>
      <w:pPr>
        <w:jc w:val="both"/>
        <w:pStyle w:val="Normal"/>
        <w:spacing w:line="240" w:lineRule="auto"/>
      </w:pPr>
      <w:r>
        <w:rPr>
          <w:sz w:val="24"/>
          <w:rFonts w:ascii="Times New Roman" w:hAnsi="Times New Roman"/>
        </w:rPr>
        <w:t>Konto 351 Subvencije trgovačkim društvima u javnom sektotu povećane su za 26,7% u odnosu na 2024. godinu. u 2025. godini Grad je subvencionirao trgovačko društvo Gacka d.o.o. za umanjenje cijene odvoza kućnog otpada za korisnike na području grada sukladno odluci Gradskog vijeća Grada Otočca. Grad sufinancira cijenu odvoza kućnog otpada za 10% po računu korisnika, pri čemu je cijena istog u 2025. godini uvećana od strane područnog komunalnog poduzeća. Također, na navedenom kontu evidentirana je i subvencija lokalnom radiju Hrvatski radio Otočac.</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kreditnim i financijskim institucijama, trgovačkim društvima, zadrugama, poljoprivrednicima i obrtnicima izvan javnog sektora (šifre 3521 do 3523)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9.335,24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8.357,60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89,5</w:t>
            </w:r>
          </w:p>
        </w:tc>
      </w:tr>
    </w:tbl>
    <w:p>
      <w:pPr>
        <w:spacing w:before="0" w:after="0"/>
      </w:pPr>
    </w:p>
    <w:p>
      <w:pPr>
        <w:jc w:val="both"/>
        <w:pStyle w:val="Normal"/>
        <w:spacing w:line="240" w:lineRule="auto"/>
      </w:pPr>
      <w:r>
        <w:rPr>
          <w:sz w:val="24"/>
          <w:rFonts w:ascii="Times New Roman" w:hAnsi="Times New Roman"/>
        </w:rPr>
        <w:t>Konto 352 Subvencije kreditnim i financijskim institucijama, trgovačkim društvima, zadrugama, poljoprivrednicima i obrtnicima izvan javnog sektora odnosi se na subvencije poljoprivrednicima i obrtnicima, a to su subvencije za umjetno osjemenjivanje krava, mikročipiranje i prvo cijepljenje pasa, sterilizacija i kastracija pasa i mačaka. Navedene subvencije su smanjene za 10,5% temeljem manje dostavljenih zahtjeva za refundaciju troškova fizičkih i pravnih osoba tijekom izvještajnog razdoblja tekuće godine u odnosu na isto razdoblje prethodne godine.</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drugom proračunu i izvanproračunskim korisnicima (šifre 3631 do 3636)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45.535,44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24.397,19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53,6</w:t>
            </w:r>
          </w:p>
        </w:tc>
      </w:tr>
    </w:tbl>
    <w:p>
      <w:pPr>
        <w:spacing w:before="0" w:after="0"/>
      </w:pPr>
    </w:p>
    <w:p>
      <w:pPr>
        <w:jc w:val="both"/>
        <w:pStyle w:val="Normal"/>
        <w:spacing w:line="240" w:lineRule="auto"/>
      </w:pPr>
      <w:r>
        <w:rPr>
          <w:sz w:val="24"/>
          <w:rFonts w:ascii="Times New Roman" w:hAnsi="Times New Roman"/>
        </w:rPr>
        <w:t>Konto 363 Pomoći unutar općeg proračuna odnose se na sufinanciranje centra za gospodarenje otpadom Babina Gora u iznosu od 24.397,19 EUR u izvještajnom razdoblju tekuće godine. Umanjenje u odnosu na prethodnu godinu od 46,4% se očituje jer je u 2024. godini ostvaren veći rashod temeljem rješavanja imovinsko-pravnih odnosa koje je Grad sufinancirao nadležnoj Županijskoj upravi za ceste u svrhu projekta izgradnje županijske ceste kroz naselje Prozor.</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71.438,16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28.662,55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40,1</w:t>
            </w:r>
          </w:p>
        </w:tc>
      </w:tr>
    </w:tbl>
    <w:p>
      <w:pPr>
        <w:spacing w:before="0" w:after="0"/>
      </w:pPr>
    </w:p>
    <w:p>
      <w:pPr>
        <w:jc w:val="both"/>
        <w:pStyle w:val="Normal"/>
        <w:spacing w:line="240" w:lineRule="auto"/>
      </w:pPr>
      <w:r>
        <w:rPr>
          <w:sz w:val="24"/>
          <w:rFonts w:ascii="Times New Roman" w:hAnsi="Times New Roman"/>
        </w:rPr>
        <w:t>Konto 366 	Pomoći proračunskim korisnicima drugih proračuna odnosi se na sufinanciranje Specijalističke pedijatrijske ordinacije za trošak dijagnostičko-terapijskih postupaka, sufinanciranje Doma zdravlja Otočac za rad spec. med. biokemije i laboratorijske medicine te katastarske izmjere za K.O. Prozor i Čovići. Isti je poglavito manji jer je veći dio katastarskih izmjera odrađen u prethodnoj godini zbog čega su i sami rashodi manji u izvještajnom razdoblju tekuće godine u odnosu na prethodnu godinu.</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na temelju osiguranja i druge naknade (šifre 371+372)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130.000,49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152.414,40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117,2</w:t>
            </w:r>
          </w:p>
        </w:tc>
      </w:tr>
    </w:tbl>
    <w:p>
      <w:pPr>
        <w:spacing w:before="0" w:after="0"/>
      </w:pPr>
    </w:p>
    <w:p>
      <w:pPr>
        <w:jc w:val="both"/>
        <w:pStyle w:val="Normal"/>
        <w:spacing w:line="240" w:lineRule="auto"/>
      </w:pPr>
      <w:r>
        <w:rPr>
          <w:sz w:val="24"/>
          <w:rFonts w:ascii="Times New Roman" w:hAnsi="Times New Roman"/>
        </w:rPr>
        <w:t>Skupina 37 se u cijelosti odnosi na podskupinu 372 - Ostale naknade građanima i kućanstvima iz proračuna.  Navedena podskupina 372 je uvećana u odnosu na 2024. godinu za 17.20% odnosno za 22.414,40 EUR. Na ovom računu knjižene su subvencije stanarine, stipendije studentima, pomoć obiteljima za novorođeno dijete, jednokratne novčane pomoći i ostale pomoći socijalno ugroženom stanovništvum, subvencija prijevoza učenika, subvencija troškova domova za učenike i druge socijalne naknade.</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339.701,33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385.309,18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w:t>
            </w:r>
          </w:p>
        </w:tc>
      </w:tr>
    </w:tbl>
    <w:p>
      <w:pPr>
        <w:spacing w:before="0" w:after="0"/>
      </w:pPr>
    </w:p>
    <w:p>
      <w:pPr>
        <w:jc w:val="both"/>
        <w:pStyle w:val="Normal"/>
        <w:spacing w:line="240" w:lineRule="auto"/>
      </w:pPr>
      <w:r>
        <w:rPr>
          <w:sz w:val="24"/>
          <w:rFonts w:ascii="Times New Roman" w:hAnsi="Times New Roman"/>
        </w:rPr>
        <w:t>Konto 381 Tekuće donacije uvećane su u odnosu na prethodnu godinu za 13,4% odnosno 45.607,85 EUR. Na računu 3811 evidentirane su donacije Ustanovama, neprofitnim organizacijama i udrugama u 2025. godini. Grad je u prvoj polovici 2025. doznačivao donacije Vatrogasnoj zajednici Grada Otočca, Hrvatskom crvenom križu - Gradska organizacija Otočac i Hrvatskom centru za autohtone vrste riba i rakova, Turističkoj zajednici Grada Otočca, Zajednici sportskih udruga Grada Otočca te ostalim udrugama na području grada.</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Stambeni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1.039,89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8.615,18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828,5</w:t>
            </w:r>
          </w:p>
        </w:tc>
      </w:tr>
    </w:tbl>
    <w:p>
      <w:pPr>
        <w:spacing w:before="0" w:after="0"/>
      </w:pPr>
    </w:p>
    <w:p>
      <w:pPr>
        <w:jc w:val="both"/>
        <w:pStyle w:val="Normal"/>
        <w:spacing w:line="240" w:lineRule="auto"/>
      </w:pPr>
      <w:r>
        <w:rPr>
          <w:sz w:val="24"/>
          <w:rFonts w:ascii="Times New Roman" w:hAnsi="Times New Roman"/>
        </w:rPr>
        <w:t>Na kontu 7211 evidentiran je prihod od prodaje stanova na kojima postoji stanarsko pravo. Otplata ovih stanova bliži se kraju i vlasnici stanova  većinom otplaćuju stanove u cijelosti (mali broj rata do konačne otplate). Grad je u obvezi 55% od prikupljenih sredstava uplatiti u Državni proračun dok 45 % sredstava ostaje Gradu za zbrinjavanje socijalnih slučajeva. Grad svoje obveze prema Ministarstvu financija uredno podmiruje.</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Poslovni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116.750,00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4212 Poslovni objekti se odnose na rashode vezane uz projekt izgradnje i opremanje područnog vrtića s kuhinjom i obnovu zgrade Dobrovoljnog vatrogasnog doma Otočac i opremanje istog. Plaćeni rashodi se poglavito odnose na izradu glavnog i idejnog projekta obnove DVD-a Otočac u iznosu od 31.125,00 EUR, izradu projektne dokumentacije za izgradnju vrtića u iznosu od 68.750,00 EUR, izradu troškovnika izgradnje vrtića u iznosu od 3.750,000 EUR, revizija glavnog projekta izgradnje vrtića u iznosu od 1.875,00 EUR.
</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za ostalu nefinancijsku imovinu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145,7</w:t>
            </w:r>
          </w:p>
        </w:tc>
      </w:tr>
    </w:tbl>
    <w:p>
      <w:pPr>
        <w:spacing w:before="0" w:after="0"/>
      </w:pPr>
    </w:p>
    <w:p>
      <w:pPr>
        <w:jc w:val="both"/>
        <w:pStyle w:val="Normal"/>
        <w:spacing w:line="240" w:lineRule="auto"/>
      </w:pPr>
      <w:r>
        <w:rPr>
          <w:sz w:val="24"/>
          <w:rFonts w:ascii="Times New Roman" w:hAnsi="Times New Roman"/>
        </w:rPr>
        <w:t>454 Dodatna ulaganja za ostalu nefinancijsku imovinu su ostvareni za 45,7% više u 2025. godini u odnosu na izvještajno razdoblje prethodne godine. Rashod se u cijelosti odnosi na izradu muzeološke koncepcije i opremanja interijera zgrade bivše ženske gimnazije u Otočcu koja je idejnim projektom predviđena kao budući gradski muzej Grada Otočca.</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otplatu glavnice primljenih kredita i zajmova (šifre 541+542+543+544+545+547)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bl>
    <w:p>
      <w:pPr>
        <w:spacing w:before="0" w:after="0"/>
      </w:pPr>
    </w:p>
    <w:p>
      <w:pPr>
        <w:jc w:val="both"/>
        <w:pStyle w:val="Normal"/>
        <w:spacing w:line="240" w:lineRule="auto"/>
      </w:pPr>
      <w:r>
        <w:rPr>
          <w:sz w:val="24"/>
          <w:rFonts w:ascii="Times New Roman" w:hAnsi="Times New Roman"/>
        </w:rPr>
        <w:t>Izdaci za otplatu glavnice primljenih kredita i zajmova su ostvareni tijekom izvještajnog razdoblja u istom iznosu kao i prethodne godine te se u cijelosti odnose na 5422 Otplata glavnice primljenih kredita od kreditnih institucija u javnom sektoru.</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Otplata glavnice primljenih kredita od kreditnih institucija u javnom sektoru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62.635,06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bl>
    <w:p>
      <w:pPr>
        <w:spacing w:before="0" w:after="0"/>
      </w:pPr>
    </w:p>
    <w:p>
      <w:pPr>
        <w:jc w:val="both"/>
        <w:pStyle w:val="Normal"/>
        <w:spacing w:line="240" w:lineRule="auto"/>
      </w:pPr>
      <w:r>
        <w:rPr>
          <w:sz w:val="24"/>
          <w:rFonts w:ascii="Times New Roman" w:hAnsi="Times New Roman"/>
        </w:rPr>
        <w:t>Konto 5422 Otplata glavnice primljenih kredita od kreditnih institucija u javnom sektoru odnosi se na otplatu glavnice kredita dodijeljenog od HBOR-a za energetsku modernizaciju javne rasvjete za 2025. godinu. Otplata navedenog kredita se izvršava kvartalno sukladno otplatnom planu kredita.</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644.387,25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199.222,67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30,9</w:t>
            </w:r>
          </w:p>
        </w:tc>
      </w:tr>
    </w:tbl>
    <w:p>
      <w:pPr>
        <w:spacing w:before="0" w:after="0"/>
      </w:pPr>
    </w:p>
    <w:p>
      <w:pPr>
        <w:jc w:val="both"/>
        <w:pStyle w:val="Normal"/>
        <w:spacing w:line="240" w:lineRule="auto"/>
      </w:pPr>
      <w:r>
        <w:rPr>
          <w:sz w:val="24"/>
          <w:rFonts w:ascii="Times New Roman" w:hAnsi="Times New Roman"/>
        </w:rPr>
        <w:t>Manjak prihoda i primitaka za pokriće u sljedećem razdoblju iznosi 199.222,67 EUR od čega po pojedinim korisnicima kako slijedi:
-	manjak Grad Otočac: -166.644,00 EUR
Proračunski korisnici:
-	manjak Gacko pučko otvoreno učilište: - 3.804,92 EUR
-	manjak Dječji vrtić Ciciban: - 36.061,55 EUR
-	višak Centar za pomoć u kući: 10.132,44 EUR
-	manjak Javna ustanova narodna knjižnica: - 3.226,20 EUR.
</w:t>
      </w:r>
    </w:p>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487.399,90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866.868,69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177,9</w:t>
            </w:r>
          </w:p>
        </w:tc>
      </w:tr>
    </w:tbl>
    <w:p>
      <w:pPr>
        <w:spacing w:before="0" w:after="0"/>
      </w:pPr>
    </w:p>
    <w:p>
      <w:pPr>
        <w:jc w:val="both"/>
        <w:pStyle w:val="Normal"/>
        <w:spacing w:line="240" w:lineRule="auto"/>
      </w:pPr>
      <w:r>
        <w:rPr>
          <w:sz w:val="24"/>
          <w:rFonts w:ascii="Times New Roman" w:hAnsi="Times New Roman"/>
        </w:rPr>
        <w:t>Stanje novčanih sredstava na kraju izvještajnog razdoblja iznosi 866.868,69 EUR u izvještajnom razdoblju tekuće godine što je za 77,9% uvećanje u odnosu na izvještajno razdoblje prethodne godine. Navedeno se dijeli po korisnicima kako slijedi:
- Grad Otočac: 811.665,72 EUR
Proračunski korisnici:
-	Gacko pučko otvoreno učilište: 19.076,13 EUR
-	Dječji vrtić Ciciban: 16.042,81 EUR
-	Javna ustanova narodna knjižnica:  4.394,51 EUR
-	Centar za pomoć u kući: 15.689,52 EUR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900.533,24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2025. gdoine u iznosu od 900.533,24 EUR se u cijelosti  odnosi na Grad Otočac, pri čemu proračunski korisnici nisu imali dospjelih obveza na kraju izvještajnog razdoblja. Ponajveći razlog tolikog iznosa je vođenje sudskog spora s HEP-om d.d. već nekolicinu godinu što potkrepljuje i prekoračenje veće od 365 dana, pa isti predstavlja potencijalnu obvezu na istoj osnovi.</w:t>
      </w:r>
    </w:p>
    <w:p/>
    <w:p>
      <w:pPr>
        <w:jc w:val="center"/>
        <w:pStyle w:val="Normal"/>
        <w:spacing w:line="240" w:lineRule="auto"/>
        <w:keepNext/>
      </w:pPr>
      <w:r>
        <w:rPr>
          <w:sz w:val="28"/>
          <w:rFonts w:ascii="Times New Roman" w:hAnsi="Times New Roman"/>
        </w:rPr>
        <w:t>Bilješka 40.</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Prilikom konsolidacije eliminirani su konto 671 Prihodi iz nadležnog proračuna za financiranje redovne djelatnosti proračunskih korisnika i konto 367 Prijenosi proračunskim korisnicima iz nadležnog proračuna za financiranje redovne djelatnosti u iznosu od 607.781,08 EUR. Grad je financirao 4 proračunska korisnika i to: Gacko pučko otvoreno učilište  u iznosu od 153.618,78 EUR, Dječji vrtić Ciciban u iznosu od 370.131,22 EUR, Javnu ustanovu Narodnu knjižnicu sa iznosom od 50.740,398 EUR i Centar za pomoć u kući sa iznosom od 33.290,69 EUR. </w:t>
      </w:r>
    </w:p>
    <w:p/>
    <w:p>
      <w:pPr>
        <w:jc w:val="center"/>
        <w:pStyle w:val="Normal"/>
        <w:spacing w:line="240" w:lineRule="auto"/>
        <w:keepNext/>
      </w:pPr>
      <w:r>
        <w:rPr>
          <w:sz w:val="28"/>
          <w:rFonts w:ascii="Times New Roman" w:hAnsi="Times New Roman"/>
        </w:rPr>
        <w:t>Bilješka 41.</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PRIHODI I PRIMICI:
Razred 6: 3.795.932,63 EUR
Razred 7: 8.615,18 EUR
Razred 8: 0,00 EUR
Ukupno prihodi/primici: 3.804.547,81 EUR
RASHODI I IZDACI:
Razred 3: 2.763.929,11 EUR
Razred 4: 483.829,48 EUR
Razred 5: 62.635,06 EUR
Ukupno rashodi/izdaci: 3.310.393,65 EUR
Prihodi i primici: 3.804.547,84 EUR
Rashodi i izdaci: 3.310.393,65 EUR
Višak: 494.154,16 EUR
Preneseni manjak: 693.376,83 EUR
Manjak 30.06.2025.: 199.222,67 EUR
Manjak prihoda i primitaka za pokriće u sljedećem razdoblju iznosi 199.222,67 EUR od čega po pojedinim korisnicima kako slijedi:
-	manjak Grad Otočac: -166.644,00 EUR
Proračunski korisnici:
-	manjak Gacko pučko otvoreno učilište: - 3.804,92 EUR
-	manjak Dječji vrtić Ciciban: - 36.061,55 EUR
-	višak Centar za pomoć u kući: 10.132,44 EUR
-	manjak Javna ustanova narodna knjižnica: - 3.226,20 EUR.</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4838d424c50340d7" /></Relationships>
</file>